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5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CATEGORIAS</w:t>
      </w:r>
      <w:r w:rsidDel="00000000" w:rsidR="00000000" w:rsidRPr="00000000">
        <w:rPr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before="240" w:line="27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RECURSOS DO EDITAL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 presente edital possui valor total de </w:t>
      </w:r>
      <w:r w:rsidDel="00000000" w:rsidR="00000000" w:rsidRPr="00000000">
        <w:rPr>
          <w:sz w:val="27"/>
          <w:szCs w:val="27"/>
          <w:rtl w:val="0"/>
        </w:rPr>
        <w:t xml:space="preserve">R$ 382.561,96 (trezentos e oitenta e dois mil quinhentos e sessenta e um reais e noventa e seis centavos)</w:t>
      </w:r>
      <w:r w:rsidDel="00000000" w:rsidR="00000000" w:rsidRPr="00000000">
        <w:rPr>
          <w:sz w:val="27"/>
          <w:szCs w:val="27"/>
          <w:rtl w:val="0"/>
        </w:rPr>
        <w:t xml:space="preserve"> distribuídos da seguinte forma:</w:t>
      </w:r>
    </w:p>
    <w:p w:rsidR="00000000" w:rsidDel="00000000" w:rsidP="00000000" w:rsidRDefault="00000000" w:rsidRPr="00000000" w14:paraId="00000004">
      <w:pPr>
        <w:spacing w:after="200" w:before="240" w:line="25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Até R$ 19.128,09 para categoria Espaço, Ambientes e Iniciativas Artístico-Culturais; </w:t>
      </w:r>
    </w:p>
    <w:p w:rsidR="00000000" w:rsidDel="00000000" w:rsidP="00000000" w:rsidRDefault="00000000" w:rsidRPr="00000000" w14:paraId="00000005">
      <w:pPr>
        <w:spacing w:after="200" w:before="24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line="256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DISTRIBUIÇÃO DE VAGAS E VALORES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5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  <w:tblGridChange w:id="0">
          <w:tblGrid>
            <w:gridCol w:w="2475"/>
            <w:gridCol w:w="1290"/>
            <w:gridCol w:w="1560"/>
            <w:gridCol w:w="1290"/>
            <w:gridCol w:w="1215"/>
            <w:gridCol w:w="1215"/>
            <w:gridCol w:w="1215"/>
            <w:gridCol w:w="1260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PESSOAS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5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rHeight w:val="583.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5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Espaço, Ambientes e Iniciativas Artístico-Culturais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R$ 19.128,09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56" w:lineRule="auto"/>
              <w:jc w:val="center"/>
              <w:rPr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u w:val="single"/>
                <w:rtl w:val="0"/>
              </w:rPr>
              <w:t xml:space="preserve">R$ 382.561,96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300" w:line="25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842.51968503937" w:left="1701" w:right="1701" w:header="624" w:footer="907.0866141732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ind w:left="-425.19685039370086" w:firstLine="0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-1064230</wp:posOffset>
          </wp:positionH>
          <wp:positionV relativeFrom="paragraph">
            <wp:posOffset>-404190</wp:posOffset>
          </wp:positionV>
          <wp:extent cx="7584440" cy="10724707"/>
          <wp:effectExtent b="0" l="0" r="0" t="0"/>
          <wp:wrapNone/>
          <wp:docPr descr="Fundo preto com letras brancas" id="93519422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440" cy="107247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-323848</wp:posOffset>
          </wp:positionH>
          <wp:positionV relativeFrom="paragraph">
            <wp:posOffset>9334583</wp:posOffset>
          </wp:positionV>
          <wp:extent cx="2419350" cy="681038"/>
          <wp:effectExtent b="0" l="0" r="0" t="0"/>
          <wp:wrapNone/>
          <wp:docPr id="9351942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o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H17YRzGCDBxT3sbgTSK6xDdPw==">CgMxLjA4AHIhMTA3M0FBdm1Nc2t3cnFXOUgzVkVzUnR3VXVFVjlpMVQ5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2024-05-28T13:37:00Z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