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PNAB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SERRA TALHADA - 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09 - DECLARAÇÃO CONJUNTA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(Rubricar todas 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pessoa responsável pela candidatura)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e domiciliado(a) em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(endereço residencial do dirigente)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responsável pela apresentação da inscrição da entidade cultural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CNPJ nº ___________________________, incrito no referido Edital de Seleção para ampliação e fortalecimento da Política Nacional de Cultura Viva,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de que as informações e documentos apresentados neste processo seletivo são de minha inteira responsabilidade, sendo a expressão da verdade;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Autorizar 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 (unidade)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enquadrar em quaisquer das vedações dispostas no Edital de Seleção, principalmente quanto ao disposto em seu item 5 (“quem não pode participar do edital”);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Receber visita técnica e/ou participar de reunião, com a missão de acompanhar e monitorar a execução e os resultados Termo de Compromisso Cultural, caso 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 (unidade)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o Ministério da Cultura considerem apropriado;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existir plágio no projeto selecionado, assumindo integralmente a autoria e respondendo exclusivamente por eventuais acusações ou pleitos nesse sentido;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ter projetos vigentes ou em análise com o mesmo objeto e/ou despesas semelhantes às pleiteadas nesta proposta em qualquer esfera do governo;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espaço físico durante e após o período de realização das ações previstas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Realizar todas as intervenções e serviços que se fizerem necessários para promover a acessibilidade cultural e a inclusão de pessoas com mobilidade reduzida e pessoas com deficiência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durante as ações propostas, garantindo ainda exibições audiovisuais, se houver, que disponham de recursos de legendagem descritiva, audiodescrição e LIBRAS – Língua Brasileira de Sinais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Disponibilizar livre acesso à população beneficiada para todas as ações propostas 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Sobre os bens remanescentes,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 será transferida à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Na hipótese de extinção da entidade cultural após a vigência do instrumento celebrado, será aplicada Cláusula do Estatuto Social.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134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120" w:before="240" w:line="240" w:lineRule="auto"/>
        <w:ind w:left="0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1C">
      <w:p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240" w:line="240" w:lineRule="auto"/>
        <w:ind w:left="0"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E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F">
      <w:pPr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20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700.7874015748032" w:left="85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   </w:t>
    </w: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419350" cy="681038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2409825</wp:posOffset>
          </wp:positionH>
          <wp:positionV relativeFrom="paragraph">
            <wp:posOffset>95250</wp:posOffset>
          </wp:positionV>
          <wp:extent cx="4154170" cy="51943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styleId="Normal1" w:customStyle="1">
    <w:name w:val="Normal1"/>
    <w:pPr>
      <w:spacing w:after="200" w:line="276" w:lineRule="auto"/>
      <w:ind w:left="-1" w:leftChars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</w:style>
  <w:style w:type="character" w:styleId="TextodecomentrioChar" w:customStyle="1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Times New Roman" w:eastAsia="Times New Roman" w:hAnsi="Times New Roman"/>
      <w:b w:val="1"/>
      <w:bCs w:val="1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243D3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243D3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cJNoBezNaWW90lLd5I/ZNOFFow==">CgMxLjA4AHIhMTNyN0FMc0h2X3U2TkUxTWRDdnBKbVhVNzcyTmZXX1Nx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2023-08-28T01:24:00Z</dcterms:created>
  <dc:creator>Iara da Costa Zannon</dc:creator>
</cp:coreProperties>
</file>