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III</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CRITÉRIOS DE AVALIAÇÃO</w:t>
      </w:r>
    </w:p>
    <w:p w:rsidR="00000000" w:rsidDel="00000000" w:rsidP="00000000" w:rsidRDefault="00000000" w:rsidRPr="00000000" w14:paraId="00000003">
      <w:pPr>
        <w:spacing w:after="120" w:before="120" w:line="276" w:lineRule="auto"/>
        <w:ind w:left="120" w:right="120" w:firstLine="0"/>
        <w:jc w:val="left"/>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0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avaliação dos projetos será realizada mediante atribuição de notas aos critérios de seleção, conforme descrição a seguir:</w:t>
      </w:r>
    </w:p>
    <w:p w:rsidR="00000000" w:rsidDel="00000000" w:rsidP="00000000" w:rsidRDefault="00000000" w:rsidRPr="00000000" w14:paraId="00000005">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Grau pleno de atendimento do critério - 10 pontos;</w:t>
      </w:r>
    </w:p>
    <w:p w:rsidR="00000000" w:rsidDel="00000000" w:rsidP="00000000" w:rsidRDefault="00000000" w:rsidRPr="00000000" w14:paraId="00000006">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Grau satisfatório de atendimento do critério – 6 pontos;</w:t>
      </w:r>
    </w:p>
    <w:p w:rsidR="00000000" w:rsidDel="00000000" w:rsidP="00000000" w:rsidRDefault="00000000" w:rsidRPr="00000000" w14:paraId="00000007">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Grau insatisfatório de atendimento do critério – 2 pontos;</w:t>
      </w:r>
    </w:p>
    <w:p w:rsidR="00000000" w:rsidDel="00000000" w:rsidP="00000000" w:rsidRDefault="00000000" w:rsidRPr="00000000" w14:paraId="00000008">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Não atendimento do critério – 0 pontos.</w:t>
      </w:r>
    </w:p>
    <w:p w:rsidR="00000000" w:rsidDel="00000000" w:rsidP="00000000" w:rsidRDefault="00000000" w:rsidRPr="00000000" w14:paraId="00000009">
      <w:pPr>
        <w:spacing w:after="120" w:before="120" w:line="276" w:lineRule="auto"/>
        <w:ind w:right="120"/>
        <w:jc w:val="both"/>
        <w:rPr>
          <w:rFonts w:ascii="Times New Roman" w:cs="Times New Roman" w:eastAsia="Times New Roman" w:hAnsi="Times New Roman"/>
          <w:sz w:val="24"/>
          <w:szCs w:val="24"/>
        </w:rPr>
      </w:pPr>
      <w:r w:rsidDel="00000000" w:rsidR="00000000" w:rsidRPr="00000000">
        <w:rPr>
          <w:rtl w:val="0"/>
        </w:rPr>
      </w:r>
    </w:p>
    <w:tbl>
      <w:tblPr>
        <w:tblStyle w:val="Table1"/>
        <w:tblW w:w="9315.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1725"/>
        <w:gridCol w:w="5085"/>
        <w:gridCol w:w="2505"/>
        <w:tblGridChange w:id="0">
          <w:tblGrid>
            <w:gridCol w:w="1725"/>
            <w:gridCol w:w="5085"/>
            <w:gridCol w:w="2505"/>
          </w:tblGrid>
        </w:tblGridChange>
      </w:tblGrid>
      <w:tr>
        <w:trPr>
          <w:cantSplit w:val="0"/>
          <w:trHeight w:val="555" w:hRule="atLeast"/>
          <w:tblHeader w:val="0"/>
        </w:trPr>
        <w:tc>
          <w:tcPr>
            <w:gridSpan w:val="3"/>
            <w:tcBorders>
              <w:top w:color="808080" w:space="0" w:sz="7" w:val="single"/>
              <w:left w:color="808080" w:space="0" w:sz="7" w:val="single"/>
              <w:bottom w:color="808080" w:space="0" w:sz="7" w:val="single"/>
              <w:right w:color="808080" w:space="0" w:sz="7" w:val="single"/>
            </w:tcBorders>
            <w:tcMar>
              <w:top w:w="0.0" w:type="dxa"/>
              <w:left w:w="0.0" w:type="dxa"/>
              <w:bottom w:w="0.0" w:type="dxa"/>
              <w:right w:w="0.0" w:type="dxa"/>
            </w:tcMar>
            <w:vAlign w:val="top"/>
          </w:tcPr>
          <w:p w:rsidR="00000000" w:rsidDel="00000000" w:rsidP="00000000" w:rsidRDefault="00000000" w:rsidRPr="00000000" w14:paraId="0000000A">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CRITÉRIOS OBRIGATÓRIOS</w:t>
            </w:r>
          </w:p>
        </w:tc>
      </w:tr>
      <w:tr>
        <w:trPr>
          <w:cantSplit w:val="0"/>
          <w:trHeight w:val="840"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0D">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Identificação do Critério</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0E">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do Critério</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0F">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Pontuação Máxima</w:t>
            </w:r>
          </w:p>
        </w:tc>
      </w:tr>
      <w:tr>
        <w:trPr>
          <w:cantSplit w:val="0"/>
          <w:trHeight w:val="2520"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0">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1">
            <w:pPr>
              <w:spacing w:after="120" w:before="120" w:line="276" w:lineRule="auto"/>
              <w:ind w:left="120" w:right="120" w:firstLine="0"/>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sz w:val="24"/>
                <w:szCs w:val="24"/>
                <w:rtl w:val="0"/>
              </w:rPr>
              <w:t xml:space="preserve">Relevância das ações propostas pelo espaço, ambiente ou iniciativa artístico-cultural para o cenário cultural do Município de Serra Talhda - PE - </w:t>
            </w:r>
            <w:r w:rsidDel="00000000" w:rsidR="00000000" w:rsidRPr="00000000">
              <w:rPr>
                <w:rFonts w:ascii="Times New Roman" w:cs="Times New Roman" w:eastAsia="Times New Roman" w:hAnsi="Times New Roman"/>
                <w:sz w:val="24"/>
                <w:szCs w:val="24"/>
                <w:rtl w:val="0"/>
              </w:rPr>
              <w:t xml:space="preserve">A análise deverá considerar, para fins de avaliação e valoração, se as ações contribuem  para o enriquecimento e valorização da cultura de Serra Talhada - PE</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2">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820"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3">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4">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Aspectos de integração comunitária nas ações desenvolvidas pelo espaço, ambiente ou iniciativa artístico-</w:t>
            </w:r>
            <w:r w:rsidDel="00000000" w:rsidR="00000000" w:rsidRPr="00000000">
              <w:rPr>
                <w:rFonts w:ascii="Times New Roman" w:cs="Times New Roman" w:eastAsia="Times New Roman" w:hAnsi="Times New Roman"/>
                <w:sz w:val="24"/>
                <w:szCs w:val="24"/>
                <w:rtl w:val="0"/>
              </w:rPr>
              <w:t xml:space="preserve">cultural - considera-se, para fins de avaliação e valoração, se o espaço, ambiente apresenta aspectos de integração comunitária, em relação ao impacto social para a inclusão de pessoas com deficiência, idosos e demais grupos em situação de histórica vulnerabilidade econômica/social.</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5">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1727.25585937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6">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7">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Coerência da planilha orçamentária com a execução das metas e resultados - </w:t>
            </w:r>
            <w:r w:rsidDel="00000000" w:rsidR="00000000" w:rsidRPr="00000000">
              <w:rPr>
                <w:rFonts w:ascii="Times New Roman" w:cs="Times New Roman" w:eastAsia="Times New Roman" w:hAnsi="Times New Roman"/>
                <w:sz w:val="24"/>
                <w:szCs w:val="24"/>
                <w:rtl w:val="0"/>
              </w:rPr>
              <w:t xml:space="preserve">Deverá ser considerada para fins de avaliação a coerência e conformidade dos valores e quantidades dos itens relacionados na planilha orçamentária.</w:t>
            </w:r>
          </w:p>
          <w:p w:rsidR="00000000" w:rsidDel="00000000" w:rsidP="00000000" w:rsidRDefault="00000000" w:rsidRPr="00000000" w14:paraId="00000018">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9">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876.16210937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Compatibilidade da ficha técnica com as atividades desenvolvidas - </w:t>
            </w:r>
            <w:r w:rsidDel="00000000" w:rsidR="00000000" w:rsidRPr="00000000">
              <w:rPr>
                <w:rFonts w:ascii="Times New Roman" w:cs="Times New Roman" w:eastAsia="Times New Roman" w:hAnsi="Times New Roman"/>
                <w:sz w:val="24"/>
                <w:szCs w:val="24"/>
                <w:rtl w:val="0"/>
              </w:rPr>
              <w:t xml:space="preserve">A análise deverá considerar a carreira dos profissionais que compõem o corpo técnico e artístico, verificando a coerência ou não em relação às atribuições que serão executadas por eles no espaço, ambiente ou iniciativa artístico-cultural (para esta avaliação serão considerados os mini currículos dos membros da ficha técnica).</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2070"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1E">
            <w:pPr>
              <w:spacing w:after="120" w:before="120" w:line="240"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Trajetória artística e cultural do espaço, ambiente ou iniciativa artístico-cultural - </w:t>
            </w:r>
            <w:r w:rsidDel="00000000" w:rsidR="00000000" w:rsidRPr="00000000">
              <w:rPr>
                <w:rFonts w:ascii="Times New Roman" w:cs="Times New Roman" w:eastAsia="Times New Roman" w:hAnsi="Times New Roman"/>
                <w:sz w:val="24"/>
                <w:szCs w:val="24"/>
                <w:rtl w:val="0"/>
              </w:rPr>
              <w:t xml:space="preserve">Será considerado para fins de análise a história do espaço, ambiente ou iniciativa artístico-cultural com base no portifólio e comprovações enviadas juntamente com a proposta.</w:t>
            </w:r>
          </w:p>
          <w:p w:rsidR="00000000" w:rsidDel="00000000" w:rsidP="00000000" w:rsidRDefault="00000000" w:rsidRPr="00000000" w14:paraId="0000001F">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20">
            <w:pPr>
              <w:spacing w:after="120" w:before="120" w:line="276" w:lineRule="auto"/>
              <w:ind w:left="120" w:right="1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555" w:hRule="atLeast"/>
          <w:tblHeader w:val="0"/>
        </w:trPr>
        <w:tc>
          <w:tcPr>
            <w:gridSpan w:val="2"/>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21">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PONTUAÇÃO TOTAL:</w:t>
            </w:r>
          </w:p>
        </w:tc>
        <w:tc>
          <w:tcPr>
            <w:tcBorders>
              <w:top w:color="808080" w:space="0" w:sz="7" w:val="single"/>
              <w:left w:color="808080" w:space="0" w:sz="7" w:val="single"/>
              <w:bottom w:color="808080" w:space="0" w:sz="7" w:val="single"/>
              <w:right w:color="808080" w:space="0" w:sz="7" w:val="single"/>
            </w:tcBorders>
            <w:shd w:fill="auto" w:val="clear"/>
            <w:tcMar>
              <w:top w:w="0.0" w:type="dxa"/>
              <w:left w:w="0.0" w:type="dxa"/>
              <w:bottom w:w="0.0" w:type="dxa"/>
              <w:right w:w="0.0" w:type="dxa"/>
            </w:tcMar>
            <w:vAlign w:val="top"/>
          </w:tcPr>
          <w:p w:rsidR="00000000" w:rsidDel="00000000" w:rsidP="00000000" w:rsidRDefault="00000000" w:rsidRPr="00000000" w14:paraId="00000023">
            <w:pPr>
              <w:spacing w:after="120" w:before="120" w:line="276" w:lineRule="auto"/>
              <w:ind w:left="120" w:right="1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PONTOS</w:t>
            </w:r>
          </w:p>
        </w:tc>
      </w:tr>
    </w:tbl>
    <w:p w:rsidR="00000000" w:rsidDel="00000000" w:rsidP="00000000" w:rsidRDefault="00000000" w:rsidRPr="00000000" w14:paraId="00000024">
      <w:pPr>
        <w:spacing w:after="120" w:before="120" w:line="276" w:lineRule="auto"/>
        <w:ind w:left="120" w:right="1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da pontuação acima, o agente cultural pode receber bônus de pontuação, ou seja, uma pontuação extra, conforme critérios abaixo especificados:</w:t>
      </w:r>
    </w:p>
    <w:tbl>
      <w:tblPr>
        <w:tblStyle w:val="Table2"/>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5085"/>
        <w:gridCol w:w="2445"/>
        <w:tblGridChange w:id="0">
          <w:tblGrid>
            <w:gridCol w:w="1770"/>
            <w:gridCol w:w="5085"/>
            <w:gridCol w:w="2445"/>
          </w:tblGrid>
        </w:tblGridChange>
      </w:tblGrid>
      <w:tr>
        <w:trPr>
          <w:cantSplit w:val="0"/>
          <w:trHeight w:val="780" w:hRule="atLeast"/>
          <w:tblHeader w:val="0"/>
        </w:trPr>
        <w:tc>
          <w:tcPr>
            <w:gridSpan w:val="3"/>
            <w:tcBorders>
              <w:top w:color="000000"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PONTUAÇÃO EXTRA PARA ESPAÇOS E INICIATIVAS ARTÍSTICO-CULTURAIS</w:t>
            </w:r>
          </w:p>
        </w:tc>
      </w:tr>
      <w:tr>
        <w:trPr>
          <w:cantSplit w:val="0"/>
          <w:trHeight w:val="10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Identificação do Ponto Extra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Descrição do Ponto Extra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Pontuação Máxima</w:t>
            </w:r>
          </w:p>
        </w:tc>
      </w:tr>
      <w:tr>
        <w:trPr>
          <w:cantSplit w:val="0"/>
          <w:trHeight w:val="135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Espaços, ambientes ou iniciativas artístico-culturais compostos majoritariamente por pessoas com deficiência.</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135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Espaços, ambientes ou iniciativas artístico-culturais compostos majoritariamente por pessoas negras; indígenas;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w:t>
            </w:r>
          </w:p>
        </w:tc>
      </w:tr>
      <w:tr>
        <w:trPr>
          <w:cantSplit w:val="0"/>
          <w:trHeight w:val="1065"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hd w:fill="ffffff" w:val="clea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Espaços, ambientes ou iniciativas artístico-culturais compostos majoritariamente por mulheres.</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w:t>
            </w:r>
          </w:p>
        </w:tc>
      </w:tr>
      <w:tr>
        <w:trPr>
          <w:cantSplit w:val="0"/>
          <w:trHeight w:val="192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hd w:fill="ffffff" w:val="clea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after="0" w:before="24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Espaços, ambientes ou iniciativas artístico-culturais sediadas em regiões de menor IDH ou coletivos/grupos pertencentes a regiões de menor IDH no município de Serra Talhada.</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2760" w:hRule="atLeast"/>
          <w:tblHeader w:val="0"/>
        </w:trPr>
        <w:tc>
          <w:tcPr>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hd w:fill="ffffff" w:val="clea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after="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Espaços, ambientes ou iniciativas artístico-culturais com notória atuação em temáticas relacionadas a: pessoas negras, indígenas, pessoas com deficiência, mulheres, LGBTQIAP+, idosos, crianças, e demais grupos em situação de vulnerabilidade econômica e/ou social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975" w:hRule="atLeast"/>
          <w:tblHeader w:val="0"/>
        </w:trPr>
        <w:tc>
          <w:tcPr>
            <w:gridSpan w:val="2"/>
            <w:tcBorders>
              <w:top w:color="000000" w:space="0" w:sz="0" w:val="nil"/>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hd w:fill="ffffff" w:val="clea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PONTUAÇÃO EXTRA TOTAL</w:t>
            </w:r>
          </w:p>
        </w:tc>
        <w:tc>
          <w:tcPr>
            <w:tcBorders>
              <w:top w:color="000000" w:space="0" w:sz="0" w:val="nil"/>
              <w:left w:color="000000" w:space="0" w:sz="0" w:val="nil"/>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hd w:fill="ffffff" w:val="clear"/>
              <w:spacing w:after="240" w:before="24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PONTOS</w:t>
            </w:r>
          </w:p>
        </w:tc>
      </w:tr>
    </w:tbl>
    <w:p w:rsidR="00000000" w:rsidDel="00000000" w:rsidP="00000000" w:rsidRDefault="00000000" w:rsidRPr="00000000" w14:paraId="0000003D">
      <w:pPr>
        <w:spacing w:after="120" w:before="120" w:line="276" w:lineRule="auto"/>
        <w:ind w:left="840" w:right="1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12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pontuação final de cada candidatura será definida por consenso dos membros da comissão de avaliação;</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 bônus de pontuação são cumulativos e não constituem critérios obrigatórios, de modo que a pontuação 0 em algum dos pontos bônus não desclassifica o agente cultural;</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 caso de empate, serão utilizados para fins de classificação dos projetos a maior nota nos critérios de acordo com a seguinte ordem: A,B,H,E,C,D respectivamente.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Caso nenhum dos critérios acima elencados seja capaz de promover o desempate serão adotados como critério de desempate maior tempo de atuação cultural do agente/ grupo proponente.</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beforeAutospacing="0" w:line="276" w:lineRule="auto"/>
        <w:ind w:left="720" w:right="-834.3307086614169"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Serão considerados aptos os projetos que receberem nota final igual ou superior a 30 pontos.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834.3307086614169"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Serão desclassificados os projetos que: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receberam nota 0 em qualquer dos critérios obrigatórios;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566.9291338582675" w:right="-834.330708661416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falsidade de informações acarretará desclassificação, podendo ensejar, ainda, a aplicação de sanções administrativas ou criminais.</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851" w:right="0" w:firstLine="0"/>
      <w:jc w:val="left"/>
      <w:rPr>
        <w:rFonts w:ascii="Aptos" w:cs="Aptos" w:eastAsia="Aptos" w:hAnsi="Aptos"/>
        <w:b w:val="0"/>
        <w:i w:val="0"/>
        <w:smallCaps w:val="0"/>
        <w:strike w:val="0"/>
        <w:color w:val="ff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-442097</wp:posOffset>
          </wp:positionV>
          <wp:extent cx="7555696" cy="10684060"/>
          <wp:effectExtent b="0" l="0" r="0" t="0"/>
          <wp:wrapNone/>
          <wp:docPr descr="Fundo preto com letras brancas&#10;&#10;Descrição gerada automaticamente" id="2" name="image2.png"/>
          <a:graphic>
            <a:graphicData uri="http://schemas.openxmlformats.org/drawingml/2006/picture">
              <pic:pic>
                <pic:nvPicPr>
                  <pic:cNvPr descr="Fundo preto com letras brancas&#10;&#10;Descrição gerada automaticamente" id="0" name="image2.png"/>
                  <pic:cNvPicPr preferRelativeResize="0"/>
                </pic:nvPicPr>
                <pic:blipFill>
                  <a:blip r:embed="rId1"/>
                  <a:srcRect b="0" l="0" r="0" t="0"/>
                  <a:stretch>
                    <a:fillRect/>
                  </a:stretch>
                </pic:blipFill>
                <pic:spPr>
                  <a:xfrm>
                    <a:off x="0" y="0"/>
                    <a:ext cx="7555696" cy="10684060"/>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-447674</wp:posOffset>
          </wp:positionH>
          <wp:positionV relativeFrom="paragraph">
            <wp:posOffset>9420225</wp:posOffset>
          </wp:positionV>
          <wp:extent cx="3997325" cy="685800"/>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997325" cy="685800"/>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color w:val="0f476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ies>
</file>