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-571498</wp:posOffset>
          </wp:positionH>
          <wp:positionV relativeFrom="paragraph">
            <wp:posOffset>-66673</wp:posOffset>
          </wp:positionV>
          <wp:extent cx="1290638" cy="56412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-130497</wp:posOffset>
          </wp:positionV>
          <wp:extent cx="2125415" cy="7401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-9523</wp:posOffset>
          </wp:positionV>
          <wp:extent cx="2925675" cy="39009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9406" l="0" r="0" t="19407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dYn/L0Od5aFSUA9jVQvM/ixjw==">CgMxLjA4AHIhMXR4U2hmNlM2Z3J3bHgyMnh4bTFGZk9UMkViVWJ0SUdt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