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4248150</wp:posOffset>
            </wp:positionH>
            <wp:positionV relativeFrom="paragraph">
              <wp:posOffset>1955638</wp:posOffset>
            </wp:positionV>
            <wp:extent cx="2147226" cy="73937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64783" r="0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-447672</wp:posOffset>
          </wp:positionH>
          <wp:positionV relativeFrom="paragraph">
            <wp:posOffset>-85723</wp:posOffset>
          </wp:positionV>
          <wp:extent cx="1038225" cy="4464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952500</wp:posOffset>
          </wp:positionH>
          <wp:positionV relativeFrom="paragraph">
            <wp:posOffset>-57148</wp:posOffset>
          </wp:positionV>
          <wp:extent cx="2925675" cy="39009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9406" l="0" r="0" t="19407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-714373</wp:posOffset>
          </wp:positionH>
          <wp:positionV relativeFrom="paragraph">
            <wp:posOffset>-245107</wp:posOffset>
          </wp:positionV>
          <wp:extent cx="1571308" cy="895169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tSKoDyy7zuhuBF3fqMQmfFDjA==">CgMxLjA4AHIhMTZvZWJYcm9KWkVmNUJXd242a01SRjhxR0ZXaDNzblVw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